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79D" w:rsidRDefault="00B0579D" w:rsidP="002B0659">
      <w:pPr>
        <w:spacing w:after="120" w:line="240" w:lineRule="auto"/>
        <w:jc w:val="both"/>
      </w:pPr>
      <w:bookmarkStart w:id="0" w:name="_GoBack"/>
      <w:bookmarkEnd w:id="0"/>
    </w:p>
    <w:p w:rsidR="00B0579D" w:rsidRDefault="00B0579D" w:rsidP="002B0659">
      <w:pPr>
        <w:spacing w:after="120" w:line="240" w:lineRule="auto"/>
        <w:jc w:val="both"/>
      </w:pPr>
    </w:p>
    <w:p w:rsidR="007D4E69" w:rsidRDefault="007D4E69" w:rsidP="007D4E69">
      <w:pPr>
        <w:spacing w:after="120" w:line="240" w:lineRule="auto"/>
        <w:jc w:val="center"/>
        <w:rPr>
          <w:b/>
          <w:bCs/>
        </w:rPr>
      </w:pPr>
      <w:r>
        <w:rPr>
          <w:b/>
          <w:bCs/>
          <w:noProof/>
          <w:lang w:val="en-US" w:eastAsia="en-US"/>
        </w:rPr>
        <w:drawing>
          <wp:inline distT="0" distB="0" distL="0" distR="0">
            <wp:extent cx="1197500" cy="1131526"/>
            <wp:effectExtent l="19050" t="0" r="2650" b="0"/>
            <wp:docPr id="1" name="Imagen 1" descr="D:\Mis Documentos\IMAGENES CIDDH\Imagen\Imagen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is Documentos\IMAGENES CIDDH\Imagen\Imagen 001.jpg"/>
                    <pic:cNvPicPr>
                      <a:picLocks noChangeAspect="1" noChangeArrowheads="1"/>
                    </pic:cNvPicPr>
                  </pic:nvPicPr>
                  <pic:blipFill>
                    <a:blip r:embed="rId9"/>
                    <a:srcRect/>
                    <a:stretch>
                      <a:fillRect/>
                    </a:stretch>
                  </pic:blipFill>
                  <pic:spPr bwMode="auto">
                    <a:xfrm>
                      <a:off x="0" y="0"/>
                      <a:ext cx="1198875" cy="1132826"/>
                    </a:xfrm>
                    <a:prstGeom prst="rect">
                      <a:avLst/>
                    </a:prstGeom>
                    <a:noFill/>
                    <a:ln w="9525">
                      <a:noFill/>
                      <a:miter lim="800000"/>
                      <a:headEnd/>
                      <a:tailEnd/>
                    </a:ln>
                  </pic:spPr>
                </pic:pic>
              </a:graphicData>
            </a:graphic>
          </wp:inline>
        </w:drawing>
      </w:r>
    </w:p>
    <w:p w:rsidR="007D4E69" w:rsidRDefault="007D4E69" w:rsidP="007D4E69">
      <w:pPr>
        <w:spacing w:after="120" w:line="240" w:lineRule="auto"/>
        <w:jc w:val="center"/>
        <w:rPr>
          <w:b/>
          <w:bCs/>
        </w:rPr>
      </w:pPr>
    </w:p>
    <w:p w:rsidR="007D4E69" w:rsidRDefault="007D4E69" w:rsidP="007D4E69">
      <w:pPr>
        <w:spacing w:after="120" w:line="240" w:lineRule="auto"/>
        <w:jc w:val="center"/>
        <w:rPr>
          <w:b/>
          <w:bCs/>
        </w:rPr>
      </w:pPr>
      <w:r w:rsidRPr="007D4E69">
        <w:rPr>
          <w:b/>
          <w:bCs/>
        </w:rPr>
        <w:t>Carta abierta de</w:t>
      </w:r>
      <w:r>
        <w:rPr>
          <w:b/>
          <w:bCs/>
        </w:rPr>
        <w:t>l CIDDH sobre la aprobación de la Ley de regulación del mercado de</w:t>
      </w:r>
      <w:r w:rsidR="0096240A">
        <w:rPr>
          <w:b/>
          <w:bCs/>
        </w:rPr>
        <w:t xml:space="preserve">l cannabis </w:t>
      </w:r>
      <w:r>
        <w:rPr>
          <w:b/>
          <w:bCs/>
        </w:rPr>
        <w:t>en Uruguay</w:t>
      </w:r>
    </w:p>
    <w:p w:rsidR="007D4E69" w:rsidRPr="007D4E69" w:rsidRDefault="007D4E69" w:rsidP="007D4E69">
      <w:pPr>
        <w:spacing w:after="120" w:line="240" w:lineRule="auto"/>
        <w:jc w:val="center"/>
        <w:rPr>
          <w:b/>
          <w:bCs/>
        </w:rPr>
      </w:pPr>
      <w:r>
        <w:rPr>
          <w:b/>
          <w:bCs/>
        </w:rPr>
        <w:t>U</w:t>
      </w:r>
      <w:r w:rsidRPr="007D4E69">
        <w:rPr>
          <w:b/>
          <w:bCs/>
        </w:rPr>
        <w:t>n nuevo paradigma para las políticas sobre drogas</w:t>
      </w:r>
    </w:p>
    <w:p w:rsidR="007D4E69" w:rsidRDefault="007D4E69" w:rsidP="002B0659">
      <w:pPr>
        <w:spacing w:after="120" w:line="240" w:lineRule="auto"/>
        <w:jc w:val="both"/>
      </w:pPr>
    </w:p>
    <w:p w:rsidR="007D4E69" w:rsidRPr="007D4E69" w:rsidRDefault="007D4E69" w:rsidP="002B0659">
      <w:pPr>
        <w:spacing w:after="120" w:line="240" w:lineRule="auto"/>
        <w:jc w:val="both"/>
        <w:rPr>
          <w:i/>
        </w:rPr>
      </w:pPr>
      <w:r w:rsidRPr="007D4E69">
        <w:rPr>
          <w:i/>
        </w:rPr>
        <w:t>Lima, 11 de diciembre 2013</w:t>
      </w:r>
    </w:p>
    <w:p w:rsidR="007D4E69" w:rsidRDefault="007D4E69" w:rsidP="002B0659">
      <w:pPr>
        <w:spacing w:after="120" w:line="240" w:lineRule="auto"/>
        <w:jc w:val="both"/>
      </w:pPr>
    </w:p>
    <w:p w:rsidR="00B0579D" w:rsidRDefault="007D4E69" w:rsidP="002B0659">
      <w:pPr>
        <w:spacing w:after="120" w:line="240" w:lineRule="auto"/>
        <w:jc w:val="both"/>
      </w:pPr>
      <w:r>
        <w:t>El 10 de diciembre</w:t>
      </w:r>
      <w:r w:rsidR="002F14DE">
        <w:t xml:space="preserve"> del</w:t>
      </w:r>
      <w:r>
        <w:t xml:space="preserve"> 2013, s</w:t>
      </w:r>
      <w:r w:rsidR="00B0579D" w:rsidRPr="00B0579D">
        <w:t>e aprobó en la Cámara Alta</w:t>
      </w:r>
      <w:r>
        <w:t xml:space="preserve"> uruguaya</w:t>
      </w:r>
      <w:r w:rsidR="00B0579D" w:rsidRPr="00B0579D">
        <w:t xml:space="preserve"> el proyecto que </w:t>
      </w:r>
      <w:r>
        <w:t>regula</w:t>
      </w:r>
      <w:r w:rsidR="00B0579D" w:rsidRPr="00B0579D">
        <w:t xml:space="preserve"> la venta y habilita al </w:t>
      </w:r>
      <w:proofErr w:type="spellStart"/>
      <w:r w:rsidR="00B0579D" w:rsidRPr="00B0579D">
        <w:t>autocultivo</w:t>
      </w:r>
      <w:proofErr w:type="spellEnd"/>
      <w:r w:rsidR="00B0579D" w:rsidRPr="00B0579D">
        <w:t xml:space="preserve"> de </w:t>
      </w:r>
      <w:r w:rsidR="005013B7">
        <w:t>cannabis</w:t>
      </w:r>
      <w:r w:rsidR="005013B7">
        <w:rPr>
          <w:rStyle w:val="FootnoteReference"/>
        </w:rPr>
        <w:footnoteReference w:id="1"/>
      </w:r>
      <w:r w:rsidR="00B0579D" w:rsidRPr="00B0579D">
        <w:t xml:space="preserve">. </w:t>
      </w:r>
      <w:r>
        <w:t>El Centro de Investigación “Drogas y DDHH” (CIDDH) se dirige a los expertos</w:t>
      </w:r>
      <w:r w:rsidR="0096240A">
        <w:t xml:space="preserve"> y opinión pública, </w:t>
      </w:r>
      <w:r>
        <w:t xml:space="preserve">a fin de guiar el debate sobre las drogas y repensar las actuales políticas de drogas en el Perú. </w:t>
      </w:r>
    </w:p>
    <w:p w:rsidR="00E0684D" w:rsidRDefault="002F14DE" w:rsidP="002B0659">
      <w:pPr>
        <w:spacing w:after="120" w:line="240" w:lineRule="auto"/>
        <w:jc w:val="both"/>
      </w:pPr>
      <w:r>
        <w:t xml:space="preserve">El Gobierno del </w:t>
      </w:r>
      <w:r w:rsidR="00E0684D">
        <w:t xml:space="preserve">Uruguay parte del principio que las drogas siempre han existido, existen y seguirán existiendo. </w:t>
      </w:r>
      <w:r w:rsidR="002B0659">
        <w:t xml:space="preserve">Desde una perspectiva científica y empírica, la Ley de regulación </w:t>
      </w:r>
      <w:proofErr w:type="gramStart"/>
      <w:r w:rsidR="002B0659">
        <w:t>de la</w:t>
      </w:r>
      <w:proofErr w:type="gramEnd"/>
      <w:r w:rsidR="002B0659">
        <w:t xml:space="preserve"> </w:t>
      </w:r>
      <w:r w:rsidR="005013B7">
        <w:t>cannabis</w:t>
      </w:r>
      <w:r w:rsidR="002B0659">
        <w:t xml:space="preserve"> se basa en los siguientes </w:t>
      </w:r>
      <w:r w:rsidR="001F1754">
        <w:t>paradigmas</w:t>
      </w:r>
      <w:r w:rsidR="002B0659">
        <w:t xml:space="preserve">: </w:t>
      </w:r>
    </w:p>
    <w:p w:rsidR="002B0659" w:rsidRPr="002B0659" w:rsidRDefault="002B0659" w:rsidP="002B0659">
      <w:pPr>
        <w:pStyle w:val="ListParagraph"/>
        <w:numPr>
          <w:ilvl w:val="0"/>
          <w:numId w:val="1"/>
        </w:numPr>
        <w:spacing w:after="120" w:line="240" w:lineRule="auto"/>
        <w:jc w:val="both"/>
        <w:rPr>
          <w:b/>
          <w:bCs/>
        </w:rPr>
      </w:pPr>
      <w:r w:rsidRPr="002B0659">
        <w:rPr>
          <w:b/>
          <w:bCs/>
        </w:rPr>
        <w:t>El modelo prohibicionista ha fracasado, la política</w:t>
      </w:r>
      <w:r>
        <w:rPr>
          <w:b/>
          <w:bCs/>
        </w:rPr>
        <w:t xml:space="preserve"> de drogas SÍ debe ser actualizada;</w:t>
      </w:r>
    </w:p>
    <w:p w:rsidR="002B0659" w:rsidRPr="002B0659" w:rsidRDefault="002B0659" w:rsidP="002B0659">
      <w:pPr>
        <w:pStyle w:val="ListParagraph"/>
        <w:numPr>
          <w:ilvl w:val="0"/>
          <w:numId w:val="1"/>
        </w:numPr>
        <w:spacing w:after="120" w:line="240" w:lineRule="auto"/>
        <w:jc w:val="both"/>
        <w:rPr>
          <w:b/>
          <w:bCs/>
        </w:rPr>
      </w:pPr>
      <w:r w:rsidRPr="002B0659">
        <w:rPr>
          <w:b/>
          <w:bCs/>
        </w:rPr>
        <w:t xml:space="preserve">Regular el mercado de </w:t>
      </w:r>
      <w:r w:rsidR="005013B7">
        <w:rPr>
          <w:b/>
          <w:bCs/>
        </w:rPr>
        <w:t>cannabis</w:t>
      </w:r>
      <w:r>
        <w:rPr>
          <w:b/>
          <w:bCs/>
        </w:rPr>
        <w:t xml:space="preserve"> SÍ</w:t>
      </w:r>
      <w:r w:rsidRPr="002B0659">
        <w:rPr>
          <w:b/>
          <w:bCs/>
        </w:rPr>
        <w:t xml:space="preserve"> arrebataría un negocio millonario que hoy alimenta la</w:t>
      </w:r>
      <w:r>
        <w:rPr>
          <w:b/>
          <w:bCs/>
        </w:rPr>
        <w:t xml:space="preserve"> delincuencia y el narcotráfico;</w:t>
      </w:r>
    </w:p>
    <w:p w:rsidR="002B0659" w:rsidRPr="002B0659" w:rsidRDefault="005013B7" w:rsidP="002B0659">
      <w:pPr>
        <w:pStyle w:val="ListParagraph"/>
        <w:numPr>
          <w:ilvl w:val="0"/>
          <w:numId w:val="1"/>
        </w:numPr>
        <w:spacing w:after="120" w:line="240" w:lineRule="auto"/>
        <w:jc w:val="both"/>
        <w:rPr>
          <w:b/>
          <w:bCs/>
        </w:rPr>
      </w:pPr>
      <w:r>
        <w:rPr>
          <w:b/>
          <w:bCs/>
        </w:rPr>
        <w:t>El cannabis</w:t>
      </w:r>
      <w:r w:rsidR="002B0659" w:rsidRPr="002B0659">
        <w:rPr>
          <w:b/>
          <w:bCs/>
        </w:rPr>
        <w:t xml:space="preserve"> </w:t>
      </w:r>
      <w:r w:rsidR="002B0659">
        <w:rPr>
          <w:b/>
          <w:bCs/>
        </w:rPr>
        <w:t xml:space="preserve">SÍ </w:t>
      </w:r>
      <w:r w:rsidR="002B0659" w:rsidRPr="002B0659">
        <w:rPr>
          <w:b/>
          <w:bCs/>
        </w:rPr>
        <w:t>tiene p</w:t>
      </w:r>
      <w:r w:rsidR="002B0659">
        <w:rPr>
          <w:b/>
          <w:bCs/>
        </w:rPr>
        <w:t>robados usos medicinales útiles;</w:t>
      </w:r>
    </w:p>
    <w:p w:rsidR="002B0659" w:rsidRPr="002B0659" w:rsidRDefault="005013B7" w:rsidP="002B0659">
      <w:pPr>
        <w:pStyle w:val="ListParagraph"/>
        <w:numPr>
          <w:ilvl w:val="0"/>
          <w:numId w:val="1"/>
        </w:numPr>
        <w:spacing w:after="120" w:line="240" w:lineRule="auto"/>
        <w:jc w:val="both"/>
        <w:rPr>
          <w:b/>
          <w:bCs/>
        </w:rPr>
      </w:pPr>
      <w:r>
        <w:rPr>
          <w:b/>
          <w:bCs/>
        </w:rPr>
        <w:t>El</w:t>
      </w:r>
      <w:r w:rsidR="002B0659" w:rsidRPr="002B0659">
        <w:rPr>
          <w:b/>
          <w:bCs/>
        </w:rPr>
        <w:t xml:space="preserve"> </w:t>
      </w:r>
      <w:r>
        <w:rPr>
          <w:b/>
          <w:bCs/>
        </w:rPr>
        <w:t>cannabis</w:t>
      </w:r>
      <w:r w:rsidR="002B0659" w:rsidRPr="002B0659">
        <w:rPr>
          <w:b/>
          <w:bCs/>
        </w:rPr>
        <w:t xml:space="preserve"> </w:t>
      </w:r>
      <w:r w:rsidR="002B0659">
        <w:rPr>
          <w:b/>
          <w:bCs/>
        </w:rPr>
        <w:t>NO</w:t>
      </w:r>
      <w:r w:rsidR="002B0659" w:rsidRPr="002B0659">
        <w:rPr>
          <w:b/>
          <w:bCs/>
        </w:rPr>
        <w:t xml:space="preserve"> es la puerta de entrada a otras drogas.</w:t>
      </w:r>
    </w:p>
    <w:p w:rsidR="00E0684D" w:rsidRPr="001F1754" w:rsidRDefault="001F1754" w:rsidP="002B0659">
      <w:pPr>
        <w:spacing w:after="120" w:line="240" w:lineRule="auto"/>
        <w:jc w:val="both"/>
        <w:rPr>
          <w:b/>
        </w:rPr>
      </w:pPr>
      <w:r w:rsidRPr="001F1754">
        <w:rPr>
          <w:b/>
        </w:rPr>
        <w:t>¿Regulación o legalización?</w:t>
      </w:r>
    </w:p>
    <w:p w:rsidR="00E0684D" w:rsidRDefault="001F1754" w:rsidP="00F267DB">
      <w:pPr>
        <w:spacing w:after="120" w:line="240" w:lineRule="auto"/>
        <w:jc w:val="both"/>
      </w:pPr>
      <w:r w:rsidRPr="001F1754">
        <w:rPr>
          <w:b/>
        </w:rPr>
        <w:t>Legalizar</w:t>
      </w:r>
      <w:r>
        <w:t xml:space="preserve">, en lo que a políticas de drogas se refiere, significa que una sustancia pasa de estar prohibida a estar permitida. </w:t>
      </w:r>
      <w:r w:rsidRPr="00F267DB">
        <w:rPr>
          <w:b/>
        </w:rPr>
        <w:t>Regular</w:t>
      </w:r>
      <w:r>
        <w:t xml:space="preserve"> significa establecer mecanismos de regulación legal para controlar</w:t>
      </w:r>
      <w:r w:rsidR="00E0684D">
        <w:t xml:space="preserve"> todos los aspectos del mercado </w:t>
      </w:r>
      <w:r w:rsidR="00F267DB">
        <w:t xml:space="preserve">– incluyendo su </w:t>
      </w:r>
      <w:r w:rsidR="00F267DB" w:rsidRPr="001F1754">
        <w:t>producción, distribución, venta y posesión</w:t>
      </w:r>
      <w:r w:rsidR="00F267DB">
        <w:t xml:space="preserve"> de una sustancia</w:t>
      </w:r>
      <w:r w:rsidR="00E0684D">
        <w:t xml:space="preserve">. </w:t>
      </w:r>
    </w:p>
    <w:p w:rsidR="000B247D" w:rsidRDefault="00F267DB" w:rsidP="002B0659">
      <w:pPr>
        <w:spacing w:after="120" w:line="240" w:lineRule="auto"/>
        <w:jc w:val="both"/>
      </w:pPr>
      <w:r>
        <w:t>Así, l</w:t>
      </w:r>
      <w:r w:rsidR="00E0684D" w:rsidRPr="00E0684D">
        <w:t>a regulación de</w:t>
      </w:r>
      <w:r w:rsidR="005013B7">
        <w:t>l</w:t>
      </w:r>
      <w:r w:rsidR="00E0684D" w:rsidRPr="00E0684D">
        <w:t xml:space="preserve"> </w:t>
      </w:r>
      <w:r w:rsidR="005013B7">
        <w:t>cannabis</w:t>
      </w:r>
      <w:r w:rsidR="00E0684D" w:rsidRPr="00E0684D">
        <w:t xml:space="preserve"> </w:t>
      </w:r>
      <w:r>
        <w:t>busca desviar esta sustancia del mercado ilegal al legal alejando a q</w:t>
      </w:r>
      <w:r w:rsidR="00E0684D" w:rsidRPr="00E0684D">
        <w:t xml:space="preserve">uienes la usan -uno de cada cinco uruguayos, uno de cada tres jóvenes montevideanos- de </w:t>
      </w:r>
      <w:r>
        <w:t xml:space="preserve">la </w:t>
      </w:r>
      <w:r w:rsidR="00E0684D" w:rsidRPr="00E0684D">
        <w:t>of</w:t>
      </w:r>
      <w:r>
        <w:t>erta de d</w:t>
      </w:r>
      <w:r w:rsidR="00E0684D" w:rsidRPr="00E0684D">
        <w:t>rogas más peligrosas y adictivas</w:t>
      </w:r>
      <w:r>
        <w:rPr>
          <w:rStyle w:val="FootnoteReference"/>
          <w:b/>
          <w:bCs/>
        </w:rPr>
        <w:footnoteReference w:id="2"/>
      </w:r>
      <w:r w:rsidR="00E0684D" w:rsidRPr="00E0684D">
        <w:t xml:space="preserve">. Regular </w:t>
      </w:r>
      <w:r w:rsidR="005013B7" w:rsidRPr="00E0684D">
        <w:t>el</w:t>
      </w:r>
      <w:r w:rsidR="00E0684D" w:rsidRPr="00E0684D">
        <w:t xml:space="preserve"> </w:t>
      </w:r>
      <w:r w:rsidR="005013B7">
        <w:t>cannabis</w:t>
      </w:r>
      <w:r w:rsidR="00E0684D" w:rsidRPr="00E0684D">
        <w:t xml:space="preserve"> permitirá, además, </w:t>
      </w:r>
      <w:r w:rsidR="00E0684D" w:rsidRPr="00E0684D">
        <w:rPr>
          <w:b/>
          <w:bCs/>
        </w:rPr>
        <w:t>controlar la calidad de la sustancia</w:t>
      </w:r>
      <w:r w:rsidR="005013B7">
        <w:rPr>
          <w:b/>
          <w:bCs/>
        </w:rPr>
        <w:t xml:space="preserve"> a fin de prevenir y reducir los daños para la salud</w:t>
      </w:r>
      <w:r w:rsidR="00E0684D" w:rsidRPr="00E0684D">
        <w:rPr>
          <w:b/>
          <w:bCs/>
        </w:rPr>
        <w:t>, difundir información</w:t>
      </w:r>
      <w:r w:rsidR="00E0684D" w:rsidRPr="00E0684D">
        <w:t> sobre los riesgos que su consumo genera y </w:t>
      </w:r>
      <w:r w:rsidR="00E0684D" w:rsidRPr="00E0684D">
        <w:rPr>
          <w:b/>
          <w:bCs/>
        </w:rPr>
        <w:t>garantizar su acceso para su uso medicinal</w:t>
      </w:r>
      <w:r>
        <w:rPr>
          <w:rStyle w:val="FootnoteReference"/>
          <w:b/>
          <w:bCs/>
        </w:rPr>
        <w:footnoteReference w:id="3"/>
      </w:r>
      <w:r w:rsidR="00E0684D" w:rsidRPr="00E0684D">
        <w:t>.</w:t>
      </w:r>
    </w:p>
    <w:p w:rsidR="00E0684D" w:rsidRPr="00F267DB" w:rsidRDefault="00F267DB" w:rsidP="002B0659">
      <w:pPr>
        <w:spacing w:after="120" w:line="240" w:lineRule="auto"/>
        <w:jc w:val="both"/>
        <w:rPr>
          <w:b/>
        </w:rPr>
      </w:pPr>
      <w:r w:rsidRPr="00F267DB">
        <w:rPr>
          <w:b/>
        </w:rPr>
        <w:t>¿Qué dice la Ley?</w:t>
      </w:r>
    </w:p>
    <w:p w:rsidR="00F267DB" w:rsidRDefault="00F267DB" w:rsidP="002B0659">
      <w:pPr>
        <w:spacing w:after="120" w:line="240" w:lineRule="auto"/>
        <w:jc w:val="both"/>
      </w:pPr>
      <w:r>
        <w:t>El control legal del</w:t>
      </w:r>
      <w:r w:rsidR="00E0684D" w:rsidRPr="00E0684D">
        <w:t xml:space="preserve"> mercado</w:t>
      </w:r>
      <w:r>
        <w:t xml:space="preserve"> </w:t>
      </w:r>
      <w:r w:rsidR="005013B7">
        <w:t>del</w:t>
      </w:r>
      <w:r>
        <w:t xml:space="preserve"> </w:t>
      </w:r>
      <w:r w:rsidR="005013B7">
        <w:t>cannabis</w:t>
      </w:r>
      <w:r>
        <w:t xml:space="preserve"> en Uruguay</w:t>
      </w:r>
      <w:r w:rsidR="00E0684D" w:rsidRPr="00E0684D">
        <w:t xml:space="preserve"> brindará permisos </w:t>
      </w:r>
      <w:r>
        <w:t xml:space="preserve">para: </w:t>
      </w:r>
    </w:p>
    <w:p w:rsidR="00F267DB" w:rsidRPr="00F267DB" w:rsidRDefault="00F267DB" w:rsidP="00F267DB">
      <w:pPr>
        <w:pStyle w:val="ListParagraph"/>
        <w:numPr>
          <w:ilvl w:val="0"/>
          <w:numId w:val="2"/>
        </w:numPr>
        <w:spacing w:after="120" w:line="240" w:lineRule="auto"/>
        <w:jc w:val="both"/>
      </w:pPr>
      <w:r>
        <w:lastRenderedPageBreak/>
        <w:t>La</w:t>
      </w:r>
      <w:r w:rsidR="00E0684D" w:rsidRPr="00E0684D">
        <w:t> </w:t>
      </w:r>
      <w:proofErr w:type="spellStart"/>
      <w:r w:rsidR="00E0684D" w:rsidRPr="00F267DB">
        <w:rPr>
          <w:b/>
          <w:bCs/>
          <w:iCs/>
        </w:rPr>
        <w:t>producción</w:t>
      </w:r>
      <w:r w:rsidR="00E0684D" w:rsidRPr="00F267DB">
        <w:rPr>
          <w:bCs/>
          <w:iCs/>
        </w:rPr>
        <w:t>,</w:t>
      </w:r>
      <w:r>
        <w:rPr>
          <w:bCs/>
          <w:iCs/>
        </w:rPr>
        <w:t>autorizando</w:t>
      </w:r>
      <w:proofErr w:type="spellEnd"/>
      <w:r>
        <w:rPr>
          <w:bCs/>
          <w:iCs/>
        </w:rPr>
        <w:t xml:space="preserve"> a ciertos establecimientos a producir </w:t>
      </w:r>
      <w:r w:rsidR="005013B7">
        <w:rPr>
          <w:bCs/>
          <w:iCs/>
        </w:rPr>
        <w:t>cannabis</w:t>
      </w:r>
      <w:r>
        <w:rPr>
          <w:bCs/>
          <w:iCs/>
        </w:rPr>
        <w:t xml:space="preserve"> para uso industrial, personal y medicinal; </w:t>
      </w:r>
    </w:p>
    <w:p w:rsidR="00F267DB" w:rsidRPr="00F267DB" w:rsidRDefault="00F267DB" w:rsidP="00F267DB">
      <w:pPr>
        <w:pStyle w:val="ListParagraph"/>
        <w:numPr>
          <w:ilvl w:val="0"/>
          <w:numId w:val="2"/>
        </w:numPr>
        <w:spacing w:after="120" w:line="240" w:lineRule="auto"/>
        <w:jc w:val="both"/>
      </w:pPr>
      <w:proofErr w:type="spellStart"/>
      <w:r>
        <w:rPr>
          <w:bCs/>
          <w:iCs/>
        </w:rPr>
        <w:t>L</w:t>
      </w:r>
      <w:r w:rsidRPr="00F267DB">
        <w:rPr>
          <w:bCs/>
          <w:iCs/>
        </w:rPr>
        <w:t>a</w:t>
      </w:r>
      <w:r w:rsidR="00E0684D" w:rsidRPr="00F267DB">
        <w:rPr>
          <w:b/>
          <w:bCs/>
          <w:iCs/>
        </w:rPr>
        <w:t>comercialización</w:t>
      </w:r>
      <w:proofErr w:type="spellEnd"/>
      <w:r>
        <w:rPr>
          <w:bCs/>
          <w:iCs/>
        </w:rPr>
        <w:t xml:space="preserve">, habilitando ciertos sitios de venta de </w:t>
      </w:r>
      <w:r w:rsidR="005013B7">
        <w:rPr>
          <w:bCs/>
          <w:iCs/>
        </w:rPr>
        <w:t>cannabis</w:t>
      </w:r>
      <w:r>
        <w:rPr>
          <w:bCs/>
          <w:iCs/>
        </w:rPr>
        <w:t>;</w:t>
      </w:r>
      <w:r w:rsidR="00E0684D" w:rsidRPr="00F267DB">
        <w:rPr>
          <w:bCs/>
          <w:iCs/>
        </w:rPr>
        <w:t xml:space="preserve"> y </w:t>
      </w:r>
    </w:p>
    <w:p w:rsidR="00654500" w:rsidRPr="00654500" w:rsidRDefault="00F267DB" w:rsidP="00654500">
      <w:pPr>
        <w:pStyle w:val="ListParagraph"/>
        <w:numPr>
          <w:ilvl w:val="0"/>
          <w:numId w:val="2"/>
        </w:numPr>
        <w:spacing w:after="120" w:line="240" w:lineRule="auto"/>
        <w:jc w:val="both"/>
      </w:pPr>
      <w:r>
        <w:rPr>
          <w:bCs/>
          <w:iCs/>
        </w:rPr>
        <w:t>E</w:t>
      </w:r>
      <w:r w:rsidRPr="00F267DB">
        <w:rPr>
          <w:bCs/>
          <w:iCs/>
        </w:rPr>
        <w:t xml:space="preserve">l </w:t>
      </w:r>
      <w:r w:rsidR="00E0684D" w:rsidRPr="003C7337">
        <w:rPr>
          <w:b/>
          <w:bCs/>
          <w:iCs/>
        </w:rPr>
        <w:t>abastecimiento personal</w:t>
      </w:r>
      <w:r>
        <w:rPr>
          <w:bCs/>
          <w:iCs/>
        </w:rPr>
        <w:t xml:space="preserve">, permitiendo a los usuarios que </w:t>
      </w:r>
      <w:r w:rsidR="003C7337">
        <w:rPr>
          <w:bCs/>
          <w:iCs/>
        </w:rPr>
        <w:t xml:space="preserve">accedan a la sustancia a sea a través del </w:t>
      </w:r>
      <w:proofErr w:type="spellStart"/>
      <w:r w:rsidR="003C7337" w:rsidRPr="003C7337">
        <w:rPr>
          <w:b/>
          <w:bCs/>
          <w:iCs/>
        </w:rPr>
        <w:t>autocultivo</w:t>
      </w:r>
      <w:proofErr w:type="spellEnd"/>
      <w:r w:rsidR="003C7337">
        <w:rPr>
          <w:bCs/>
          <w:iCs/>
        </w:rPr>
        <w:t xml:space="preserve"> (hasta 6 plantas), de </w:t>
      </w:r>
      <w:r w:rsidR="003C7337" w:rsidRPr="003C7337">
        <w:rPr>
          <w:b/>
          <w:bCs/>
          <w:iCs/>
        </w:rPr>
        <w:t>sitios de venta autorizados</w:t>
      </w:r>
      <w:r w:rsidR="003C7337">
        <w:rPr>
          <w:bCs/>
          <w:iCs/>
        </w:rPr>
        <w:t xml:space="preserve"> (hasta 40 gramos por persona por mes), de una autorización del </w:t>
      </w:r>
      <w:r w:rsidR="003C7337" w:rsidRPr="003C7337">
        <w:rPr>
          <w:b/>
        </w:rPr>
        <w:t>Ministerio de Salud Pública</w:t>
      </w:r>
      <w:r w:rsidR="003C7337">
        <w:t xml:space="preserve"> (para uso medicinal), o de </w:t>
      </w:r>
      <w:r w:rsidR="003C7337" w:rsidRPr="003C7337">
        <w:rPr>
          <w:b/>
        </w:rPr>
        <w:t>clubes de cannabis</w:t>
      </w:r>
      <w:r w:rsidR="003C7337">
        <w:t xml:space="preserve"> (</w:t>
      </w:r>
      <w:r w:rsidR="003C7337" w:rsidRPr="00E0684D">
        <w:t>cantidad de plantas proporcional al número de miembros</w:t>
      </w:r>
      <w:r w:rsidR="003C7337">
        <w:t>)</w:t>
      </w:r>
      <w:r w:rsidR="00654500">
        <w:rPr>
          <w:b/>
          <w:bCs/>
          <w:i/>
          <w:iCs/>
        </w:rPr>
        <w:t>.</w:t>
      </w:r>
    </w:p>
    <w:p w:rsidR="007D4E69" w:rsidRDefault="007D4E69" w:rsidP="00654500">
      <w:pPr>
        <w:spacing w:after="120" w:line="240" w:lineRule="auto"/>
        <w:jc w:val="both"/>
        <w:rPr>
          <w:bCs/>
        </w:rPr>
      </w:pPr>
      <w:r>
        <w:rPr>
          <w:bCs/>
          <w:noProof/>
          <w:lang w:val="en-US" w:eastAsia="en-US"/>
        </w:rPr>
        <w:drawing>
          <wp:inline distT="0" distB="0" distL="0" distR="0">
            <wp:extent cx="5400040" cy="5400040"/>
            <wp:effectExtent l="19050" t="0" r="0" b="0"/>
            <wp:docPr id="2" name="Imagen 2" descr="C:\Documents and Settings\Pc\Escritorio\Uruguay\plant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Pc\Escritorio\Uruguay\plantas.jpg"/>
                    <pic:cNvPicPr>
                      <a:picLocks noChangeAspect="1" noChangeArrowheads="1"/>
                    </pic:cNvPicPr>
                  </pic:nvPicPr>
                  <pic:blipFill>
                    <a:blip r:embed="rId10"/>
                    <a:srcRect/>
                    <a:stretch>
                      <a:fillRect/>
                    </a:stretch>
                  </pic:blipFill>
                  <pic:spPr bwMode="auto">
                    <a:xfrm>
                      <a:off x="0" y="0"/>
                      <a:ext cx="5400040" cy="5400040"/>
                    </a:xfrm>
                    <a:prstGeom prst="rect">
                      <a:avLst/>
                    </a:prstGeom>
                    <a:noFill/>
                    <a:ln w="9525">
                      <a:noFill/>
                      <a:miter lim="800000"/>
                      <a:headEnd/>
                      <a:tailEnd/>
                    </a:ln>
                  </pic:spPr>
                </pic:pic>
              </a:graphicData>
            </a:graphic>
          </wp:inline>
        </w:drawing>
      </w:r>
    </w:p>
    <w:p w:rsidR="00654500" w:rsidRPr="00654500" w:rsidRDefault="00654500" w:rsidP="00654500">
      <w:pPr>
        <w:spacing w:after="120" w:line="240" w:lineRule="auto"/>
        <w:jc w:val="both"/>
        <w:rPr>
          <w:bCs/>
        </w:rPr>
      </w:pPr>
      <w:r w:rsidRPr="00654500">
        <w:rPr>
          <w:bCs/>
        </w:rPr>
        <w:t xml:space="preserve">Finalmente, al igual que con el alcohol y el tabaco, la Ley busca limitar los </w:t>
      </w:r>
      <w:r w:rsidRPr="00654500">
        <w:rPr>
          <w:b/>
          <w:bCs/>
        </w:rPr>
        <w:t>daños y riesgos</w:t>
      </w:r>
      <w:r w:rsidRPr="00654500">
        <w:rPr>
          <w:bCs/>
        </w:rPr>
        <w:t xml:space="preserve"> asociados al uso </w:t>
      </w:r>
      <w:r w:rsidR="005013B7" w:rsidRPr="00654500">
        <w:rPr>
          <w:bCs/>
        </w:rPr>
        <w:t>del</w:t>
      </w:r>
      <w:r w:rsidRPr="00654500">
        <w:rPr>
          <w:bCs/>
        </w:rPr>
        <w:t xml:space="preserve"> </w:t>
      </w:r>
      <w:r w:rsidR="005013B7">
        <w:rPr>
          <w:bCs/>
        </w:rPr>
        <w:t>cannabis</w:t>
      </w:r>
      <w:r w:rsidRPr="00654500">
        <w:rPr>
          <w:bCs/>
        </w:rPr>
        <w:t>:</w:t>
      </w:r>
    </w:p>
    <w:p w:rsidR="00654500" w:rsidRPr="00654500" w:rsidRDefault="00157174" w:rsidP="00654500">
      <w:pPr>
        <w:pStyle w:val="ListParagraph"/>
        <w:numPr>
          <w:ilvl w:val="0"/>
          <w:numId w:val="4"/>
        </w:numPr>
        <w:spacing w:after="120" w:line="240" w:lineRule="auto"/>
        <w:jc w:val="both"/>
      </w:pPr>
      <w:r>
        <w:rPr>
          <w:bCs/>
        </w:rPr>
        <w:t>Se prohíbe la venta</w:t>
      </w:r>
      <w:r w:rsidR="00654500" w:rsidRPr="00654500">
        <w:rPr>
          <w:bCs/>
        </w:rPr>
        <w:t xml:space="preserve"> a menores de edad;</w:t>
      </w:r>
    </w:p>
    <w:p w:rsidR="00654500" w:rsidRPr="00654500" w:rsidRDefault="00654500" w:rsidP="00654500">
      <w:pPr>
        <w:pStyle w:val="ListParagraph"/>
        <w:numPr>
          <w:ilvl w:val="0"/>
          <w:numId w:val="4"/>
        </w:numPr>
        <w:spacing w:after="120" w:line="240" w:lineRule="auto"/>
        <w:jc w:val="both"/>
      </w:pPr>
      <w:r w:rsidRPr="00654500">
        <w:rPr>
          <w:bCs/>
        </w:rPr>
        <w:t>Se sanciona a quienes conducen bajo sus efectos;</w:t>
      </w:r>
    </w:p>
    <w:p w:rsidR="00654500" w:rsidRPr="00654500" w:rsidRDefault="00654500" w:rsidP="00654500">
      <w:pPr>
        <w:pStyle w:val="ListParagraph"/>
        <w:numPr>
          <w:ilvl w:val="0"/>
          <w:numId w:val="4"/>
        </w:numPr>
        <w:spacing w:after="120" w:line="240" w:lineRule="auto"/>
        <w:jc w:val="both"/>
      </w:pPr>
      <w:r w:rsidRPr="00654500">
        <w:rPr>
          <w:bCs/>
        </w:rPr>
        <w:t>Se sanciona a quienes producen sin autorización; y</w:t>
      </w:r>
    </w:p>
    <w:p w:rsidR="00654500" w:rsidRPr="00654500" w:rsidRDefault="00654500" w:rsidP="00654500">
      <w:pPr>
        <w:pStyle w:val="ListParagraph"/>
        <w:numPr>
          <w:ilvl w:val="0"/>
          <w:numId w:val="4"/>
        </w:numPr>
        <w:spacing w:after="120" w:line="240" w:lineRule="auto"/>
        <w:jc w:val="both"/>
      </w:pPr>
      <w:r w:rsidRPr="00654500">
        <w:rPr>
          <w:bCs/>
        </w:rPr>
        <w:t>Se establece normas de consumo en espacios públicos y su publicidad estará prohibida.</w:t>
      </w:r>
    </w:p>
    <w:p w:rsidR="00654500" w:rsidRDefault="00654500" w:rsidP="002B0659">
      <w:pPr>
        <w:spacing w:after="120" w:line="240" w:lineRule="auto"/>
        <w:jc w:val="both"/>
        <w:rPr>
          <w:b/>
        </w:rPr>
      </w:pPr>
      <w:r w:rsidRPr="00654500">
        <w:rPr>
          <w:b/>
        </w:rPr>
        <w:t>¿Y qué hay de Perú?</w:t>
      </w:r>
    </w:p>
    <w:p w:rsidR="00B0579D" w:rsidRDefault="00B0579D" w:rsidP="00B0579D">
      <w:pPr>
        <w:spacing w:after="120" w:line="240" w:lineRule="auto"/>
        <w:jc w:val="both"/>
      </w:pPr>
      <w:r>
        <w:t>E</w:t>
      </w:r>
      <w:r w:rsidR="00654500">
        <w:t xml:space="preserve">l </w:t>
      </w:r>
      <w:r w:rsidR="003658F7">
        <w:t>C</w:t>
      </w:r>
      <w:r w:rsidR="00654500">
        <w:t xml:space="preserve">ódigo </w:t>
      </w:r>
      <w:r w:rsidR="003658F7">
        <w:t>P</w:t>
      </w:r>
      <w:r w:rsidR="00654500">
        <w:t xml:space="preserve">enal peruano no criminaliza la posesión de pequeñas cantidades de droga para el uso personal (Art. 299º) – hasta 8 gramos de </w:t>
      </w:r>
      <w:r w:rsidR="005013B7">
        <w:t>cannabis</w:t>
      </w:r>
      <w:r>
        <w:t xml:space="preserve">. Sin embargo, los efectivos policiales </w:t>
      </w:r>
      <w:r>
        <w:lastRenderedPageBreak/>
        <w:t xml:space="preserve">frecuentemente detienen a usuarios de drogas en virtud de la Constitución (art 2.24.f.), la cual señala que en casos de tráfico ilícito de drogas, la detención en Comisaría es de hasta 15 días (24 horas para otros delitos) y como medio para lograr dos objetivos: 1) incurrir en actos de corrupción y/o 2) investigar a los usuarios para que delaten a los micro comercializadores. </w:t>
      </w:r>
    </w:p>
    <w:p w:rsidR="00654500" w:rsidRDefault="00654500" w:rsidP="002B0659">
      <w:pPr>
        <w:spacing w:after="120" w:line="240" w:lineRule="auto"/>
        <w:jc w:val="both"/>
      </w:pPr>
      <w:r w:rsidRPr="00654500">
        <w:t xml:space="preserve">En 2012, </w:t>
      </w:r>
      <w:r w:rsidRPr="003658F7">
        <w:rPr>
          <w:b/>
        </w:rPr>
        <w:t xml:space="preserve">la PNP ha detenido a 9,107 personas por consumo de drogas de un total de 14,723 personas intervenidas </w:t>
      </w:r>
      <w:r w:rsidR="003658F7" w:rsidRPr="003658F7">
        <w:rPr>
          <w:b/>
        </w:rPr>
        <w:t>vinculadas</w:t>
      </w:r>
      <w:r w:rsidRPr="003658F7">
        <w:rPr>
          <w:b/>
        </w:rPr>
        <w:t xml:space="preserve"> al tráfico ilícito de drogas (TID</w:t>
      </w:r>
      <w:r w:rsidRPr="00654500">
        <w:t>). Es decir que alrededor de dos tercios de las intervenciones policiales dirigidas a la lucha contra el TID están dirig</w:t>
      </w:r>
      <w:r>
        <w:t>idas a los usuarios de drogas.</w:t>
      </w:r>
    </w:p>
    <w:p w:rsidR="00654500" w:rsidRDefault="00654500" w:rsidP="002B0659">
      <w:pPr>
        <w:spacing w:after="120" w:line="240" w:lineRule="auto"/>
        <w:jc w:val="both"/>
      </w:pPr>
      <w:r w:rsidRPr="00654500">
        <w:t>¿</w:t>
      </w:r>
      <w:r>
        <w:t>El Estado</w:t>
      </w:r>
      <w:r w:rsidRPr="00654500">
        <w:t xml:space="preserve"> de verdad cree que así erradicará el crimen organizado y el tráfico de drogas en el Perú?</w:t>
      </w:r>
      <w:r w:rsidR="00B0579D">
        <w:t xml:space="preserve"> Recordemos que, hoy en día, el Perú es primer productor mundial de cocaína a pesar de su incansable lucha contra las drogas. Es imprescindible un cambio de rumbo que coloque</w:t>
      </w:r>
      <w:r w:rsidR="00B0579D" w:rsidRPr="00B0579D">
        <w:t xml:space="preserve"> los derechos, y no los </w:t>
      </w:r>
      <w:r w:rsidR="00B0579D">
        <w:t>prejuicios y estereotipos</w:t>
      </w:r>
      <w:r w:rsidR="00B0579D" w:rsidRPr="00B0579D">
        <w:t>, en e</w:t>
      </w:r>
      <w:r w:rsidR="00B0579D">
        <w:t>l punto central de las políticas de drogas.</w:t>
      </w:r>
      <w:r w:rsidR="005013B7">
        <w:t xml:space="preserve"> </w:t>
      </w:r>
    </w:p>
    <w:p w:rsidR="005013B7" w:rsidRDefault="005013B7" w:rsidP="002B0659">
      <w:pPr>
        <w:spacing w:after="120" w:line="240" w:lineRule="auto"/>
        <w:jc w:val="both"/>
      </w:pPr>
      <w:r>
        <w:t xml:space="preserve">El debate sobre drogas en el Perú es inexistente y las actuales políticas de drogas se ven debilitadas por la corrupción y la violencia que generan en nombre de un mundo libre de drogas. </w:t>
      </w:r>
      <w:r w:rsidR="004D7F92" w:rsidRPr="004D7F92">
        <w:rPr>
          <w:b/>
        </w:rPr>
        <w:t>La guerra contra las drogas ha demostrado su fracaso</w:t>
      </w:r>
      <w:r w:rsidR="004D7F92">
        <w:t xml:space="preserve">. Por esa razón, el CIDDH apoya </w:t>
      </w:r>
      <w:r w:rsidR="00837A7B">
        <w:t xml:space="preserve">al gobierno y </w:t>
      </w:r>
      <w:r w:rsidR="004D7F92">
        <w:t>la sociedad uruguaya y cree que es indispensable repensar las políticas de drogas desde una perspectiva de derechos humanos.</w:t>
      </w:r>
    </w:p>
    <w:p w:rsidR="007D4E69" w:rsidRPr="007D4E69" w:rsidRDefault="007D4E69" w:rsidP="007D4E69">
      <w:pPr>
        <w:shd w:val="clear" w:color="auto" w:fill="FFFFFF"/>
        <w:spacing w:after="120" w:line="240" w:lineRule="auto"/>
        <w:rPr>
          <w:rFonts w:ascii="Tahoma" w:eastAsia="Times New Roman" w:hAnsi="Tahoma" w:cs="Tahoma"/>
          <w:b/>
          <w:bCs/>
          <w:color w:val="3366FF"/>
          <w:sz w:val="20"/>
          <w:szCs w:val="20"/>
          <w:lang w:eastAsia="es-ES"/>
        </w:rPr>
      </w:pPr>
      <w:r w:rsidRPr="007D4E69">
        <w:rPr>
          <w:rFonts w:ascii="Cambria Math" w:eastAsia="Times New Roman" w:hAnsi="Cambria Math" w:cs="Cambria Math"/>
          <w:b/>
          <w:bCs/>
          <w:color w:val="3366FF"/>
          <w:sz w:val="20"/>
          <w:szCs w:val="20"/>
          <w:lang w:eastAsia="es-ES"/>
        </w:rPr>
        <w:t>​</w:t>
      </w:r>
    </w:p>
    <w:p w:rsidR="007D4E69" w:rsidRPr="007D4E69" w:rsidRDefault="007D4E69" w:rsidP="007D4E69">
      <w:pPr>
        <w:shd w:val="clear" w:color="auto" w:fill="FFFFFF"/>
        <w:spacing w:after="0" w:line="240" w:lineRule="auto"/>
        <w:rPr>
          <w:rFonts w:eastAsia="Times New Roman" w:cs="Arial"/>
          <w:color w:val="222222"/>
          <w:szCs w:val="20"/>
          <w:lang w:eastAsia="es-ES"/>
        </w:rPr>
      </w:pPr>
      <w:r w:rsidRPr="007D4E69">
        <w:rPr>
          <w:rFonts w:eastAsia="Times New Roman" w:cs="Tahoma"/>
          <w:b/>
          <w:bCs/>
          <w:color w:val="3366FF"/>
          <w:lang w:eastAsia="es-ES"/>
        </w:rPr>
        <w:t>Centro de Investigación Drogas y Derechos Humanos CIDDH</w:t>
      </w:r>
      <w:r w:rsidRPr="007D4E69">
        <w:rPr>
          <w:rFonts w:eastAsia="Times New Roman" w:cs="Tahoma"/>
          <w:b/>
          <w:bCs/>
          <w:color w:val="3366FF"/>
          <w:szCs w:val="20"/>
          <w:lang w:eastAsia="es-ES"/>
        </w:rPr>
        <w:br/>
      </w:r>
      <w:r w:rsidRPr="007D4E69">
        <w:rPr>
          <w:rFonts w:eastAsia="Times New Roman" w:cs="Tahoma"/>
          <w:b/>
          <w:bCs/>
          <w:color w:val="3366FF"/>
          <w:lang w:eastAsia="es-ES"/>
        </w:rPr>
        <w:t>(51-1) 444-1496</w:t>
      </w:r>
    </w:p>
    <w:p w:rsidR="007D4E69" w:rsidRPr="007D4E69" w:rsidRDefault="00616C58" w:rsidP="007D4E69">
      <w:pPr>
        <w:shd w:val="clear" w:color="auto" w:fill="FFFFFF"/>
        <w:spacing w:after="0" w:line="240" w:lineRule="auto"/>
        <w:rPr>
          <w:rFonts w:eastAsia="Times New Roman" w:cs="Arial"/>
          <w:color w:val="222222"/>
          <w:szCs w:val="20"/>
          <w:lang w:eastAsia="es-ES"/>
        </w:rPr>
      </w:pPr>
      <w:hyperlink r:id="rId11" w:tgtFrame="_blank" w:history="1">
        <w:r w:rsidR="007D4E69" w:rsidRPr="007D4E69">
          <w:rPr>
            <w:rFonts w:eastAsia="Times New Roman" w:cs="Tahoma"/>
            <w:b/>
            <w:bCs/>
            <w:color w:val="1155CC"/>
            <w:szCs w:val="20"/>
            <w:u w:val="single"/>
            <w:lang w:eastAsia="es-ES"/>
          </w:rPr>
          <w:t>www.ciddh.com</w:t>
        </w:r>
      </w:hyperlink>
    </w:p>
    <w:p w:rsidR="007D4E69" w:rsidRPr="007D4E69" w:rsidRDefault="007D4E69" w:rsidP="007D4E69">
      <w:pPr>
        <w:shd w:val="clear" w:color="auto" w:fill="FFFFFF"/>
        <w:spacing w:after="0" w:line="240" w:lineRule="auto"/>
        <w:rPr>
          <w:rFonts w:eastAsia="Times New Roman" w:cs="Arial"/>
          <w:color w:val="222222"/>
          <w:szCs w:val="20"/>
          <w:lang w:eastAsia="es-ES"/>
        </w:rPr>
      </w:pPr>
      <w:r w:rsidRPr="007D4E69">
        <w:rPr>
          <w:rFonts w:eastAsia="Times New Roman" w:cs="Tahoma"/>
          <w:b/>
          <w:bCs/>
          <w:color w:val="3366FF"/>
          <w:lang w:eastAsia="es-ES"/>
        </w:rPr>
        <w:t>Lima-Perú</w:t>
      </w:r>
    </w:p>
    <w:p w:rsidR="007D4E69" w:rsidRPr="007D4E69" w:rsidRDefault="007D4E69" w:rsidP="002B0659">
      <w:pPr>
        <w:spacing w:after="120" w:line="240" w:lineRule="auto"/>
        <w:jc w:val="both"/>
        <w:rPr>
          <w:b/>
          <w:sz w:val="24"/>
        </w:rPr>
      </w:pPr>
    </w:p>
    <w:sectPr w:rsidR="007D4E69" w:rsidRPr="007D4E69" w:rsidSect="000B247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C58" w:rsidRDefault="00616C58" w:rsidP="00E0684D">
      <w:pPr>
        <w:spacing w:after="0" w:line="240" w:lineRule="auto"/>
      </w:pPr>
      <w:r>
        <w:separator/>
      </w:r>
    </w:p>
  </w:endnote>
  <w:endnote w:type="continuationSeparator" w:id="0">
    <w:p w:rsidR="00616C58" w:rsidRDefault="00616C58" w:rsidP="00E06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800002EF" w:usb1="4000205A" w:usb2="00000000" w:usb3="00000000" w:csb0="00000017"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C58" w:rsidRDefault="00616C58" w:rsidP="00E0684D">
      <w:pPr>
        <w:spacing w:after="0" w:line="240" w:lineRule="auto"/>
      </w:pPr>
      <w:r>
        <w:separator/>
      </w:r>
    </w:p>
  </w:footnote>
  <w:footnote w:type="continuationSeparator" w:id="0">
    <w:p w:rsidR="00616C58" w:rsidRDefault="00616C58" w:rsidP="00E0684D">
      <w:pPr>
        <w:spacing w:after="0" w:line="240" w:lineRule="auto"/>
      </w:pPr>
      <w:r>
        <w:continuationSeparator/>
      </w:r>
    </w:p>
  </w:footnote>
  <w:footnote w:id="1">
    <w:p w:rsidR="005013B7" w:rsidRPr="005013B7" w:rsidRDefault="005013B7">
      <w:pPr>
        <w:pStyle w:val="FootnoteText"/>
        <w:rPr>
          <w:lang w:val="es-ES"/>
        </w:rPr>
      </w:pPr>
      <w:r>
        <w:rPr>
          <w:rStyle w:val="FootnoteReference"/>
        </w:rPr>
        <w:footnoteRef/>
      </w:r>
      <w:r>
        <w:t xml:space="preserve"> </w:t>
      </w:r>
      <w:hyperlink r:id="rId1" w:history="1">
        <w:r>
          <w:rPr>
            <w:rStyle w:val="Hyperlink"/>
          </w:rPr>
          <w:t>http://www.regulacionresponsable.org.uy/proyectoLeyRegulacion.pdf</w:t>
        </w:r>
      </w:hyperlink>
    </w:p>
  </w:footnote>
  <w:footnote w:id="2">
    <w:p w:rsidR="00F267DB" w:rsidRDefault="00F267DB" w:rsidP="00F267DB">
      <w:pPr>
        <w:pStyle w:val="FootnoteText"/>
      </w:pPr>
      <w:r>
        <w:rPr>
          <w:rStyle w:val="FootnoteReference"/>
        </w:rPr>
        <w:footnoteRef/>
      </w:r>
      <w:hyperlink r:id="rId2" w:history="1">
        <w:r>
          <w:rPr>
            <w:rStyle w:val="Hyperlink"/>
          </w:rPr>
          <w:t>http://www.regulacionresponsable.org.uy/</w:t>
        </w:r>
      </w:hyperlink>
    </w:p>
  </w:footnote>
  <w:footnote w:id="3">
    <w:p w:rsidR="00F267DB" w:rsidRPr="00F267DB" w:rsidRDefault="00F267DB">
      <w:pPr>
        <w:pStyle w:val="FootnoteText"/>
        <w:rPr>
          <w:i/>
        </w:rPr>
      </w:pPr>
      <w:r>
        <w:rPr>
          <w:rStyle w:val="FootnoteReference"/>
        </w:rPr>
        <w:footnoteRef/>
      </w:r>
      <w:r>
        <w:rPr>
          <w:i/>
        </w:rPr>
        <w:t>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6CAE"/>
    <w:multiLevelType w:val="hybridMultilevel"/>
    <w:tmpl w:val="3112E1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B7F10A2"/>
    <w:multiLevelType w:val="hybridMultilevel"/>
    <w:tmpl w:val="A8DCB4B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C6332C3"/>
    <w:multiLevelType w:val="hybridMultilevel"/>
    <w:tmpl w:val="28BAB5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31831BC"/>
    <w:multiLevelType w:val="hybridMultilevel"/>
    <w:tmpl w:val="67E8C2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854"/>
    <w:rsid w:val="000B247D"/>
    <w:rsid w:val="00157174"/>
    <w:rsid w:val="00167E1A"/>
    <w:rsid w:val="001D4B9B"/>
    <w:rsid w:val="001E0172"/>
    <w:rsid w:val="001F1754"/>
    <w:rsid w:val="002B0659"/>
    <w:rsid w:val="002E4E3A"/>
    <w:rsid w:val="002F14DE"/>
    <w:rsid w:val="003658F7"/>
    <w:rsid w:val="003C7337"/>
    <w:rsid w:val="00414B90"/>
    <w:rsid w:val="004D7F92"/>
    <w:rsid w:val="005013B7"/>
    <w:rsid w:val="005D6854"/>
    <w:rsid w:val="00616C58"/>
    <w:rsid w:val="006251CA"/>
    <w:rsid w:val="00654500"/>
    <w:rsid w:val="007D4E69"/>
    <w:rsid w:val="007E34E8"/>
    <w:rsid w:val="00837A7B"/>
    <w:rsid w:val="00891F77"/>
    <w:rsid w:val="0096240A"/>
    <w:rsid w:val="00B0579D"/>
    <w:rsid w:val="00E0684D"/>
    <w:rsid w:val="00F267DB"/>
    <w:rsid w:val="00F43AE6"/>
  </w:rsids>
  <m:mathPr>
    <m:mathFont m:val="Cambria Math"/>
    <m:brkBin m:val="before"/>
    <m:brkBinSub m:val="--"/>
    <m:smallFrac/>
    <m:dispDef/>
    <m:lMargin m:val="0"/>
    <m:rMargin m:val="0"/>
    <m:defJc m:val="centerGroup"/>
    <m:wrapIndent m:val="1440"/>
    <m:intLim m:val="subSup"/>
    <m:naryLim m:val="undOvr"/>
  </m:mathPr>
  <w:themeFontLang w:val="es-E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TextonotapieCar"/>
    <w:uiPriority w:val="99"/>
    <w:semiHidden/>
    <w:unhideWhenUsed/>
    <w:rsid w:val="00E0684D"/>
    <w:pPr>
      <w:spacing w:after="0" w:line="240" w:lineRule="auto"/>
    </w:pPr>
    <w:rPr>
      <w:sz w:val="20"/>
      <w:szCs w:val="20"/>
    </w:rPr>
  </w:style>
  <w:style w:type="character" w:customStyle="1" w:styleId="TextonotapieCar">
    <w:name w:val="Texto nota pie Car"/>
    <w:basedOn w:val="DefaultParagraphFont"/>
    <w:link w:val="FootnoteText"/>
    <w:uiPriority w:val="99"/>
    <w:semiHidden/>
    <w:rsid w:val="00E0684D"/>
    <w:rPr>
      <w:sz w:val="20"/>
      <w:szCs w:val="20"/>
    </w:rPr>
  </w:style>
  <w:style w:type="character" w:styleId="FootnoteReference">
    <w:name w:val="footnote reference"/>
    <w:basedOn w:val="DefaultParagraphFont"/>
    <w:uiPriority w:val="99"/>
    <w:semiHidden/>
    <w:unhideWhenUsed/>
    <w:rsid w:val="00E0684D"/>
    <w:rPr>
      <w:vertAlign w:val="superscript"/>
    </w:rPr>
  </w:style>
  <w:style w:type="character" w:styleId="Hyperlink">
    <w:name w:val="Hyperlink"/>
    <w:basedOn w:val="DefaultParagraphFont"/>
    <w:uiPriority w:val="99"/>
    <w:semiHidden/>
    <w:unhideWhenUsed/>
    <w:rsid w:val="00E0684D"/>
    <w:rPr>
      <w:color w:val="0000FF"/>
      <w:u w:val="single"/>
    </w:rPr>
  </w:style>
  <w:style w:type="paragraph" w:styleId="NormalWeb">
    <w:name w:val="Normal (Web)"/>
    <w:basedOn w:val="Normal"/>
    <w:uiPriority w:val="99"/>
    <w:semiHidden/>
    <w:unhideWhenUsed/>
    <w:rsid w:val="00E0684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DefaultParagraphFont"/>
    <w:rsid w:val="00E0684D"/>
  </w:style>
  <w:style w:type="character" w:styleId="Strong">
    <w:name w:val="Strong"/>
    <w:basedOn w:val="DefaultParagraphFont"/>
    <w:uiPriority w:val="22"/>
    <w:qFormat/>
    <w:rsid w:val="00E0684D"/>
    <w:rPr>
      <w:b/>
      <w:bCs/>
    </w:rPr>
  </w:style>
  <w:style w:type="paragraph" w:styleId="ListParagraph">
    <w:name w:val="List Paragraph"/>
    <w:basedOn w:val="Normal"/>
    <w:uiPriority w:val="34"/>
    <w:qFormat/>
    <w:rsid w:val="002B0659"/>
    <w:pPr>
      <w:ind w:left="720"/>
      <w:contextualSpacing/>
    </w:pPr>
  </w:style>
  <w:style w:type="paragraph" w:styleId="BalloonText">
    <w:name w:val="Balloon Text"/>
    <w:basedOn w:val="Normal"/>
    <w:link w:val="TextodegloboCar"/>
    <w:uiPriority w:val="99"/>
    <w:semiHidden/>
    <w:unhideWhenUsed/>
    <w:rsid w:val="007D4E69"/>
    <w:pPr>
      <w:spacing w:after="0" w:line="240" w:lineRule="auto"/>
    </w:pPr>
    <w:rPr>
      <w:rFonts w:ascii="Tahoma" w:hAnsi="Tahoma" w:cs="Tahoma"/>
      <w:sz w:val="16"/>
      <w:szCs w:val="16"/>
    </w:rPr>
  </w:style>
  <w:style w:type="character" w:customStyle="1" w:styleId="TextodegloboCar">
    <w:name w:val="Texto de globo Car"/>
    <w:basedOn w:val="DefaultParagraphFont"/>
    <w:link w:val="BalloonText"/>
    <w:uiPriority w:val="99"/>
    <w:semiHidden/>
    <w:rsid w:val="007D4E69"/>
    <w:rPr>
      <w:rFonts w:ascii="Tahoma" w:hAnsi="Tahoma" w:cs="Tahoma"/>
      <w:sz w:val="16"/>
      <w:szCs w:val="16"/>
    </w:rPr>
  </w:style>
  <w:style w:type="character" w:styleId="CommentReference">
    <w:name w:val="annotation reference"/>
    <w:basedOn w:val="DefaultParagraphFont"/>
    <w:uiPriority w:val="99"/>
    <w:semiHidden/>
    <w:unhideWhenUsed/>
    <w:rsid w:val="00157174"/>
    <w:rPr>
      <w:sz w:val="16"/>
      <w:szCs w:val="16"/>
    </w:rPr>
  </w:style>
  <w:style w:type="paragraph" w:styleId="CommentText">
    <w:name w:val="annotation text"/>
    <w:basedOn w:val="Normal"/>
    <w:link w:val="TextocomentarioCar"/>
    <w:uiPriority w:val="99"/>
    <w:semiHidden/>
    <w:unhideWhenUsed/>
    <w:rsid w:val="00157174"/>
    <w:pPr>
      <w:spacing w:line="240" w:lineRule="auto"/>
    </w:pPr>
    <w:rPr>
      <w:sz w:val="20"/>
      <w:szCs w:val="20"/>
    </w:rPr>
  </w:style>
  <w:style w:type="character" w:customStyle="1" w:styleId="TextocomentarioCar">
    <w:name w:val="Texto comentario Car"/>
    <w:basedOn w:val="DefaultParagraphFont"/>
    <w:link w:val="CommentText"/>
    <w:uiPriority w:val="99"/>
    <w:semiHidden/>
    <w:rsid w:val="00157174"/>
    <w:rPr>
      <w:sz w:val="20"/>
      <w:szCs w:val="20"/>
    </w:rPr>
  </w:style>
  <w:style w:type="paragraph" w:styleId="CommentSubject">
    <w:name w:val="annotation subject"/>
    <w:basedOn w:val="CommentText"/>
    <w:next w:val="CommentText"/>
    <w:link w:val="AsuntodelcomentarioCar"/>
    <w:uiPriority w:val="99"/>
    <w:semiHidden/>
    <w:unhideWhenUsed/>
    <w:rsid w:val="00157174"/>
    <w:rPr>
      <w:b/>
      <w:bCs/>
    </w:rPr>
  </w:style>
  <w:style w:type="character" w:customStyle="1" w:styleId="AsuntodelcomentarioCar">
    <w:name w:val="Asunto del comentario Car"/>
    <w:basedOn w:val="TextocomentarioCar"/>
    <w:link w:val="CommentSubject"/>
    <w:uiPriority w:val="99"/>
    <w:semiHidden/>
    <w:rsid w:val="0015717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TextonotapieCar"/>
    <w:uiPriority w:val="99"/>
    <w:semiHidden/>
    <w:unhideWhenUsed/>
    <w:rsid w:val="00E0684D"/>
    <w:pPr>
      <w:spacing w:after="0" w:line="240" w:lineRule="auto"/>
    </w:pPr>
    <w:rPr>
      <w:sz w:val="20"/>
      <w:szCs w:val="20"/>
    </w:rPr>
  </w:style>
  <w:style w:type="character" w:customStyle="1" w:styleId="TextonotapieCar">
    <w:name w:val="Texto nota pie Car"/>
    <w:basedOn w:val="DefaultParagraphFont"/>
    <w:link w:val="FootnoteText"/>
    <w:uiPriority w:val="99"/>
    <w:semiHidden/>
    <w:rsid w:val="00E0684D"/>
    <w:rPr>
      <w:sz w:val="20"/>
      <w:szCs w:val="20"/>
    </w:rPr>
  </w:style>
  <w:style w:type="character" w:styleId="FootnoteReference">
    <w:name w:val="footnote reference"/>
    <w:basedOn w:val="DefaultParagraphFont"/>
    <w:uiPriority w:val="99"/>
    <w:semiHidden/>
    <w:unhideWhenUsed/>
    <w:rsid w:val="00E0684D"/>
    <w:rPr>
      <w:vertAlign w:val="superscript"/>
    </w:rPr>
  </w:style>
  <w:style w:type="character" w:styleId="Hyperlink">
    <w:name w:val="Hyperlink"/>
    <w:basedOn w:val="DefaultParagraphFont"/>
    <w:uiPriority w:val="99"/>
    <w:semiHidden/>
    <w:unhideWhenUsed/>
    <w:rsid w:val="00E0684D"/>
    <w:rPr>
      <w:color w:val="0000FF"/>
      <w:u w:val="single"/>
    </w:rPr>
  </w:style>
  <w:style w:type="paragraph" w:styleId="NormalWeb">
    <w:name w:val="Normal (Web)"/>
    <w:basedOn w:val="Normal"/>
    <w:uiPriority w:val="99"/>
    <w:semiHidden/>
    <w:unhideWhenUsed/>
    <w:rsid w:val="00E0684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DefaultParagraphFont"/>
    <w:rsid w:val="00E0684D"/>
  </w:style>
  <w:style w:type="character" w:styleId="Strong">
    <w:name w:val="Strong"/>
    <w:basedOn w:val="DefaultParagraphFont"/>
    <w:uiPriority w:val="22"/>
    <w:qFormat/>
    <w:rsid w:val="00E0684D"/>
    <w:rPr>
      <w:b/>
      <w:bCs/>
    </w:rPr>
  </w:style>
  <w:style w:type="paragraph" w:styleId="ListParagraph">
    <w:name w:val="List Paragraph"/>
    <w:basedOn w:val="Normal"/>
    <w:uiPriority w:val="34"/>
    <w:qFormat/>
    <w:rsid w:val="002B0659"/>
    <w:pPr>
      <w:ind w:left="720"/>
      <w:contextualSpacing/>
    </w:pPr>
  </w:style>
  <w:style w:type="paragraph" w:styleId="BalloonText">
    <w:name w:val="Balloon Text"/>
    <w:basedOn w:val="Normal"/>
    <w:link w:val="TextodegloboCar"/>
    <w:uiPriority w:val="99"/>
    <w:semiHidden/>
    <w:unhideWhenUsed/>
    <w:rsid w:val="007D4E69"/>
    <w:pPr>
      <w:spacing w:after="0" w:line="240" w:lineRule="auto"/>
    </w:pPr>
    <w:rPr>
      <w:rFonts w:ascii="Tahoma" w:hAnsi="Tahoma" w:cs="Tahoma"/>
      <w:sz w:val="16"/>
      <w:szCs w:val="16"/>
    </w:rPr>
  </w:style>
  <w:style w:type="character" w:customStyle="1" w:styleId="TextodegloboCar">
    <w:name w:val="Texto de globo Car"/>
    <w:basedOn w:val="DefaultParagraphFont"/>
    <w:link w:val="BalloonText"/>
    <w:uiPriority w:val="99"/>
    <w:semiHidden/>
    <w:rsid w:val="007D4E69"/>
    <w:rPr>
      <w:rFonts w:ascii="Tahoma" w:hAnsi="Tahoma" w:cs="Tahoma"/>
      <w:sz w:val="16"/>
      <w:szCs w:val="16"/>
    </w:rPr>
  </w:style>
  <w:style w:type="character" w:styleId="CommentReference">
    <w:name w:val="annotation reference"/>
    <w:basedOn w:val="DefaultParagraphFont"/>
    <w:uiPriority w:val="99"/>
    <w:semiHidden/>
    <w:unhideWhenUsed/>
    <w:rsid w:val="00157174"/>
    <w:rPr>
      <w:sz w:val="16"/>
      <w:szCs w:val="16"/>
    </w:rPr>
  </w:style>
  <w:style w:type="paragraph" w:styleId="CommentText">
    <w:name w:val="annotation text"/>
    <w:basedOn w:val="Normal"/>
    <w:link w:val="TextocomentarioCar"/>
    <w:uiPriority w:val="99"/>
    <w:semiHidden/>
    <w:unhideWhenUsed/>
    <w:rsid w:val="00157174"/>
    <w:pPr>
      <w:spacing w:line="240" w:lineRule="auto"/>
    </w:pPr>
    <w:rPr>
      <w:sz w:val="20"/>
      <w:szCs w:val="20"/>
    </w:rPr>
  </w:style>
  <w:style w:type="character" w:customStyle="1" w:styleId="TextocomentarioCar">
    <w:name w:val="Texto comentario Car"/>
    <w:basedOn w:val="DefaultParagraphFont"/>
    <w:link w:val="CommentText"/>
    <w:uiPriority w:val="99"/>
    <w:semiHidden/>
    <w:rsid w:val="00157174"/>
    <w:rPr>
      <w:sz w:val="20"/>
      <w:szCs w:val="20"/>
    </w:rPr>
  </w:style>
  <w:style w:type="paragraph" w:styleId="CommentSubject">
    <w:name w:val="annotation subject"/>
    <w:basedOn w:val="CommentText"/>
    <w:next w:val="CommentText"/>
    <w:link w:val="AsuntodelcomentarioCar"/>
    <w:uiPriority w:val="99"/>
    <w:semiHidden/>
    <w:unhideWhenUsed/>
    <w:rsid w:val="00157174"/>
    <w:rPr>
      <w:b/>
      <w:bCs/>
    </w:rPr>
  </w:style>
  <w:style w:type="character" w:customStyle="1" w:styleId="AsuntodelcomentarioCar">
    <w:name w:val="Asunto del comentario Car"/>
    <w:basedOn w:val="TextocomentarioCar"/>
    <w:link w:val="CommentSubject"/>
    <w:uiPriority w:val="99"/>
    <w:semiHidden/>
    <w:rsid w:val="0015717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970">
      <w:bodyDiv w:val="1"/>
      <w:marLeft w:val="0"/>
      <w:marRight w:val="0"/>
      <w:marTop w:val="0"/>
      <w:marBottom w:val="0"/>
      <w:divBdr>
        <w:top w:val="none" w:sz="0" w:space="0" w:color="auto"/>
        <w:left w:val="none" w:sz="0" w:space="0" w:color="auto"/>
        <w:bottom w:val="none" w:sz="0" w:space="0" w:color="auto"/>
        <w:right w:val="none" w:sz="0" w:space="0" w:color="auto"/>
      </w:divBdr>
    </w:div>
    <w:div w:id="212739471">
      <w:bodyDiv w:val="1"/>
      <w:marLeft w:val="0"/>
      <w:marRight w:val="0"/>
      <w:marTop w:val="0"/>
      <w:marBottom w:val="0"/>
      <w:divBdr>
        <w:top w:val="none" w:sz="0" w:space="0" w:color="auto"/>
        <w:left w:val="none" w:sz="0" w:space="0" w:color="auto"/>
        <w:bottom w:val="none" w:sz="0" w:space="0" w:color="auto"/>
        <w:right w:val="none" w:sz="0" w:space="0" w:color="auto"/>
      </w:divBdr>
    </w:div>
    <w:div w:id="386605965">
      <w:bodyDiv w:val="1"/>
      <w:marLeft w:val="0"/>
      <w:marRight w:val="0"/>
      <w:marTop w:val="0"/>
      <w:marBottom w:val="0"/>
      <w:divBdr>
        <w:top w:val="none" w:sz="0" w:space="0" w:color="auto"/>
        <w:left w:val="none" w:sz="0" w:space="0" w:color="auto"/>
        <w:bottom w:val="none" w:sz="0" w:space="0" w:color="auto"/>
        <w:right w:val="none" w:sz="0" w:space="0" w:color="auto"/>
      </w:divBdr>
    </w:div>
    <w:div w:id="1880163368">
      <w:bodyDiv w:val="1"/>
      <w:marLeft w:val="0"/>
      <w:marRight w:val="0"/>
      <w:marTop w:val="0"/>
      <w:marBottom w:val="0"/>
      <w:divBdr>
        <w:top w:val="none" w:sz="0" w:space="0" w:color="auto"/>
        <w:left w:val="none" w:sz="0" w:space="0" w:color="auto"/>
        <w:bottom w:val="none" w:sz="0" w:space="0" w:color="auto"/>
        <w:right w:val="none" w:sz="0" w:space="0" w:color="auto"/>
      </w:divBdr>
    </w:div>
    <w:div w:id="1930657422">
      <w:bodyDiv w:val="1"/>
      <w:marLeft w:val="0"/>
      <w:marRight w:val="0"/>
      <w:marTop w:val="0"/>
      <w:marBottom w:val="0"/>
      <w:divBdr>
        <w:top w:val="none" w:sz="0" w:space="0" w:color="auto"/>
        <w:left w:val="none" w:sz="0" w:space="0" w:color="auto"/>
        <w:bottom w:val="none" w:sz="0" w:space="0" w:color="auto"/>
        <w:right w:val="none" w:sz="0" w:space="0" w:color="auto"/>
      </w:divBdr>
      <w:divsChild>
        <w:div w:id="1000350851">
          <w:marLeft w:val="0"/>
          <w:marRight w:val="0"/>
          <w:marTop w:val="0"/>
          <w:marBottom w:val="0"/>
          <w:divBdr>
            <w:top w:val="none" w:sz="0" w:space="0" w:color="auto"/>
            <w:left w:val="none" w:sz="0" w:space="0" w:color="auto"/>
            <w:bottom w:val="none" w:sz="0" w:space="0" w:color="auto"/>
            <w:right w:val="none" w:sz="0" w:space="0" w:color="auto"/>
          </w:divBdr>
          <w:divsChild>
            <w:div w:id="819351959">
              <w:marLeft w:val="0"/>
              <w:marRight w:val="0"/>
              <w:marTop w:val="0"/>
              <w:marBottom w:val="0"/>
              <w:divBdr>
                <w:top w:val="none" w:sz="0" w:space="0" w:color="auto"/>
                <w:left w:val="none" w:sz="0" w:space="0" w:color="auto"/>
                <w:bottom w:val="none" w:sz="0" w:space="0" w:color="auto"/>
                <w:right w:val="none" w:sz="0" w:space="0" w:color="auto"/>
              </w:divBdr>
            </w:div>
          </w:divsChild>
        </w:div>
        <w:div w:id="1313294054">
          <w:marLeft w:val="0"/>
          <w:marRight w:val="0"/>
          <w:marTop w:val="0"/>
          <w:marBottom w:val="0"/>
          <w:divBdr>
            <w:top w:val="none" w:sz="0" w:space="0" w:color="auto"/>
            <w:left w:val="none" w:sz="0" w:space="0" w:color="auto"/>
            <w:bottom w:val="none" w:sz="0" w:space="0" w:color="auto"/>
            <w:right w:val="none" w:sz="0" w:space="0" w:color="auto"/>
          </w:divBdr>
        </w:div>
        <w:div w:id="66808165">
          <w:marLeft w:val="0"/>
          <w:marRight w:val="0"/>
          <w:marTop w:val="0"/>
          <w:marBottom w:val="0"/>
          <w:divBdr>
            <w:top w:val="none" w:sz="0" w:space="0" w:color="auto"/>
            <w:left w:val="none" w:sz="0" w:space="0" w:color="auto"/>
            <w:bottom w:val="none" w:sz="0" w:space="0" w:color="auto"/>
            <w:right w:val="none" w:sz="0" w:space="0" w:color="auto"/>
          </w:divBdr>
        </w:div>
      </w:divsChild>
    </w:div>
    <w:div w:id="213798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iddh.com/"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regulacionresponsable.org.uy/" TargetMode="External"/><Relationship Id="rId1" Type="http://schemas.openxmlformats.org/officeDocument/2006/relationships/hyperlink" Target="http://www.regulacionresponsable.org.uy/proyectoLeyRegulacion.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94EE8-5955-40EF-AC12-41A95229E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701</Words>
  <Characters>4000</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Pc</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Oficina 3</dc:creator>
  <cp:lastModifiedBy>amira</cp:lastModifiedBy>
  <cp:revision>2</cp:revision>
  <dcterms:created xsi:type="dcterms:W3CDTF">2013-12-12T12:56:00Z</dcterms:created>
  <dcterms:modified xsi:type="dcterms:W3CDTF">2013-12-12T12:56:00Z</dcterms:modified>
</cp:coreProperties>
</file>